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Литература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339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76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42,09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32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особенности творчества писателей, содержание произведения, значимые факты биографии писателя. Уметь определять имя писателя по фактам его биографии и особенностям творчества (отзывы современников, литературных критиков), выявлять «сквозные темы» и ключевые проблемы произведений автора, узнавать особенности стиля писателя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51,92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особенности творчества писателей, содержание произведения, значимые факты биографии писателя, историко-культурный контекст и творческую историю изучаемых произведений. Уметь выявлять «сквозные темы» и ключевые проблемы русской литературы, сопоставлять литературные произведения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62,24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литературные направления и течения, основные закономерности историко-литературного процесса. Уметь выделять черты литературных направлений и течений, соотносить предложенное для работы произведение с литературным направлением.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49,56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содержание художественных произведений. Уметь определять произведение по деталям / фактам /эпизодам.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71,39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лирические произведения, изучаемые по программе, особенности стиля разных поэтов. Уметь по стилистическим особенностям поэтического произведения узнавать его автора, выбирать произведение названного автора из нескольких предложенных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84,37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основные теоретико-литературные понятия, литературные жанры. Уметь определять жанровую специфику произведения.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71,68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основные теоретико-литературные понятия, изобразительно-выразительные средства, используемые в художественном произведении. Уметь определять используемые в произведении изобразительно-выразительные средства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46,61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основные теоретические понятия, систему стихосложения. Уметь определять особенности стихосложения конкретных произведений (стихотворный размер, тип рифмовки по месту ударения, тип рифмовки по расположению в строфе).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42,77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историко-литературный процесс, этапы творческой эволюции писателей. Уметь соотносить художественное произведение с отображаемыми реалиями и проблемами эпохи.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55,16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историко-культурный контекст. Уметь сопоставлять литературные произведения и их интерпретации в других видах искусства, соотносить иллюстрацию с художественным произведением.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72,57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типы уроков по дидактическим целям, по способам организации познавательной деятельности учащихся, функции учебного контроля и их характеристику. Уметь соотносить урок с его целями, схарактеристикой его особенностей, соотносить функцию учебного контроля и его характеристику.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56,64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методы обучения литературе, уровни читательской грамотности, приемы работы с текстом,читательские умения, необходимые для выполнения конкретных действий, и критерии успешности выполнения заданий. Уметь соотносить метод обучения литературе с его описанием, уровень читательской грамотности и умения, соответствующие этому уровню, вид анализа произведения и его характеристику, особенности текста и примыработы с ним, конкретные вопросы / заданияи читательские умения, востребованные при их выполнении, критерии оценивания (ГИА) и читательские действия и умения, оцениваемые по этим критериям.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33,33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структуру урока, приемы организации деятельности на уроке. Уметь выбирать приемы обучения в соответствии с этапом урока, соотносить этап урока с предлагаемыми заданиями, понимать целевые установки каждого этапа урока по анализу текста.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38,05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методы и приемы обучения литературе, виды вопросов. Уметь соотносить вид вопроса и его пример, понимать целевые установки вопросов разных типов.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12,39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общепедагогические и предметные технологии обучения литературе, основные теоретико-литературные понятия.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46,9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основные подходы к оцениванию работы обучающегося на ЕГЭ по литературе, критерии оценивания заданий ЕГЭ по литературе. Уметь осуществлять объективную (критериально-ориентированную) оценку образовательных результатов обучающихся с учетом требований нормативно-методических документов.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1,77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основные подходы к оцениванию работы обучающегося на ЕГЭ по литературе, критерии оценивания заданий ЕГЭ по литературе. Уметь осуществлять объективную (критериально-ориентированную) оценку образовательных результатов обучающихся с учетом требований нормативно-методических документов.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0,29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69,91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5,31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58,11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6,49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78,17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 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79,65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сущностные и содержательные характеристики различныхформ и методоввоспитательной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44,25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характеристики методов воспитания и мотивации обучающихся к учебно-познавательной деятельности на уроке Уметь использовать разнообразные методы воспитания и мотивации обучающихся к учебно-познавательной деятельности на уроке Владеть такими методами воспитания и мотивации обучающихся к учебно-познавательной деятельности на уроке, как поощрение, наказание, убеждение, внушение, требование, принуждение, оценка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38,94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47,49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25,17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59,8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44,42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